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📍</w:t>
      </w:r>
      <w:r w:rsidDel="00000000" w:rsidR="00000000" w:rsidRPr="00000000">
        <w:rPr>
          <w:b w:val="1"/>
          <w:rtl w:val="0"/>
        </w:rPr>
        <w:t xml:space="preserve">OBAGÖL GRANADA BOUTIQUE RESIDENCE 1+1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DENİZE 150 METRE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58 m²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1+1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AÇIK HAVUZ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JAKUZİ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SAUNA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LOBBY &amp; KÜTÜPHANE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FITNESS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HAMAM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RELAX ROOM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3.KAT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TOPLAM KAT 4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7/24 GÜVENLİK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GÜNEY-DOĞU CEPHE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 FİYAT: 158.000€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